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fldChar w:fldCharType="begin"/>
      </w:r>
      <w:r w:rsidRPr="001E66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instrText>HYPERLINK "garantF1://79146.0"</w:instrText>
      </w:r>
      <w:r w:rsidRPr="001E66E6">
        <w:rPr>
          <w:rFonts w:ascii="Arial" w:eastAsiaTheme="minorEastAsia" w:hAnsi="Arial" w:cs="Arial"/>
          <w:b/>
          <w:bCs/>
          <w:sz w:val="24"/>
          <w:szCs w:val="24"/>
          <w:lang w:eastAsia="ru-RU"/>
        </w:rPr>
      </w:r>
      <w:r w:rsidRPr="001E66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fldChar w:fldCharType="separate"/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Федеральный закон от 24 июля 1998 г. N 124-ФЗ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br/>
        <w:t>"Об основных гарантиях прав ребенка в Российской Федерации"</w:t>
      </w:r>
      <w:r w:rsidRPr="001E66E6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fldChar w:fldCharType="end"/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Принят</w:t>
      </w:r>
      <w:proofErr w:type="gramEnd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Государственной Думой 3 июля 1998 года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Одобрен</w:t>
      </w:r>
      <w:proofErr w:type="gramEnd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Советом Федерации 9 июля 1998 года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26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5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Конституцией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bookmarkEnd w:id="0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00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Глава I. Общие положения</w:t>
      </w:r>
    </w:p>
    <w:bookmarkEnd w:id="1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Понятия, используемые в настоящем Федеральном законе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101"/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ребенок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лицо до достижения им возраста 18 лет (совершеннолетия);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102"/>
      <w:bookmarkEnd w:id="2"/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дети, находящиеся в трудной жизненной ситуации,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девиантным</w:t>
      </w:r>
      <w:proofErr w:type="spell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103"/>
      <w:bookmarkEnd w:id="3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социальная адаптация ребенка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104"/>
      <w:bookmarkEnd w:id="4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социальная реабилитация ребенка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105"/>
      <w:bookmarkEnd w:id="5"/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социальные службы для детей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образования юридического лица предпринимательскую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деятельность по социальному обслуживанию граждан, в том числе детей;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106"/>
      <w:bookmarkEnd w:id="6"/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социальная инфраструктура для детей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107"/>
      <w:bookmarkEnd w:id="7"/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отдых детей и их оздоровление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108"/>
      <w:bookmarkEnd w:id="8"/>
      <w:proofErr w:type="gramStart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организации отдыха детей и их оздоровления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оздоровления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организациях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, общественных организациях (объединениях) и иных организациях;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0" w:name="sub_109"/>
      <w:bookmarkEnd w:id="9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ночное время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время с 22 до 6 часов местного времени;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1" w:name="sub_150103"/>
      <w:bookmarkEnd w:id="10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торговля детьми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2" w:name="sub_111"/>
      <w:bookmarkEnd w:id="11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эксплуатация детей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sub_11123"/>
      <w:bookmarkEnd w:id="12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жертва торговли детьми и (или) эксплуатации детей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bookmarkEnd w:id="13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4" w:name="sub_2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Отношения, регулируемые настоящим Федеральным законом</w:t>
      </w:r>
    </w:p>
    <w:bookmarkEnd w:id="14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Настоящий Федеральный закон регулирует отношения, возникающие в связи с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реализацией основных гарантий прав и законных интересов ребенка в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5" w:name="sub_3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3.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Законодательство Российской Федерации об основных гарантиях прав ребенка в Российской Федерации</w:t>
      </w:r>
    </w:p>
    <w:bookmarkEnd w:id="15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Конституции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6" w:name="sub_4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4.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Цели государственной политики в интересах детей</w:t>
      </w:r>
    </w:p>
    <w:bookmarkEnd w:id="16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1. Целями государственной политики в интересах детей являются: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осуществление прав детей, предусмотренных </w:t>
      </w:r>
      <w:hyperlink r:id="rId7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Конституцией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формирование правовых основ гарантий прав ребенка;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8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Конституции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7" w:name="sub_414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bookmarkEnd w:id="17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законодательное обеспечение прав ребенка;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8" w:name="sub_42003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9" w:name="sub_42004"/>
      <w:bookmarkEnd w:id="18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абзац четвертый </w:t>
      </w:r>
      <w:hyperlink r:id="rId9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0" w:name="sub_42005"/>
      <w:bookmarkEnd w:id="19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1" w:name="sub_42006"/>
      <w:bookmarkEnd w:id="2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bookmarkEnd w:id="21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5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5.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bookmarkEnd w:id="22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выбор приоритетных направлений деятельности по обеспечению прав и законных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интересов ребенка, охраны его здоровья и нравственности;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3" w:name="sub_50104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абзацы четвертый-пятый </w:t>
      </w:r>
      <w:hyperlink r:id="rId10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утратили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г.;</w:t>
      </w:r>
    </w:p>
    <w:bookmarkEnd w:id="23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4" w:name="sub_50107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абзацы седьмой-восьмой </w:t>
      </w:r>
      <w:hyperlink r:id="rId11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утратили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г.;</w:t>
      </w:r>
    </w:p>
    <w:bookmarkEnd w:id="24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5" w:name="sub_511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установление </w:t>
      </w:r>
      <w:hyperlink r:id="rId12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основ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государственного регулирования и государственного контроля организации отдыха и оздоровления детей.</w:t>
      </w:r>
    </w:p>
    <w:bookmarkEnd w:id="25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детей в каникулярное время).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6" w:name="sub_200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</w:p>
    <w:bookmarkEnd w:id="26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7" w:name="sub_6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6.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Законодательные гарантии прав ребенка в Российской Федерации</w:t>
      </w:r>
    </w:p>
    <w:bookmarkEnd w:id="27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1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Конституцией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hyperlink r:id="rId14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Семейным кодексом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 и другими нормативными правовыми актами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8" w:name="sub_7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7.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Содействие ребенку в реализации и защите его прав и законных интересов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9" w:name="sub_3000"/>
      <w:bookmarkEnd w:id="28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правоприменения</w:t>
      </w:r>
      <w:proofErr w:type="spell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в области защиты прав и законных интересов ребенка.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0" w:name="sub_72"/>
      <w:bookmarkEnd w:id="29"/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bookmarkEnd w:id="30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1" w:name="sub_400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bookmarkEnd w:id="31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2" w:name="sub_8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8.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r:id="rId15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Утратила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bookmarkEnd w:id="32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9.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Меры по защите прав ребенка при осуществлении деятельности в области его образования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3" w:name="sub_700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4" w:name="sub_92"/>
      <w:bookmarkEnd w:id="33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5" w:name="sub_93"/>
      <w:bookmarkEnd w:id="34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bookmarkEnd w:id="35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10.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Обеспечение прав детей на охрану здоровья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11.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Защита прав и законных интересов детей в сфере профессиональной ориентации, профессионального обучения и занятости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6" w:name="sub_11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16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Российской Федерации.</w:t>
      </w:r>
    </w:p>
    <w:bookmarkEnd w:id="36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12.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Обеспечение прав детей на отдых и оздоровление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7" w:name="sub_900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bookmarkEnd w:id="37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по принятию </w:t>
      </w:r>
      <w:hyperlink r:id="rId17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нормативных правовых актов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>, регулирующих деятельность организаций отдыха детей и их оздоровления;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по обеспечению максимальной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доступности услуг организаций отдыха детей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и их оздоровления;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по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контролю за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соблюдением требований законодательства в сфере организации отдыха и оздоровления детей.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8" w:name="sub_1000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bookmarkEnd w:id="38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обеспечивать соответствие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квалификации работников организации отдыха детей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и их оздоровления соответствующим профессиональным стандартам или квалификационным требованиям в соответствии с </w:t>
      </w:r>
      <w:hyperlink r:id="rId18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трудовым законодательством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9" w:name="sub_1203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3. Общественный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</w:t>
      </w:r>
      <w:hyperlink r:id="rId19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от 21 июля 2014 года N 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bookmarkEnd w:id="39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12.1.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0" w:name="sub_121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bookmarkEnd w:id="40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утверждение примерных положений об организациях отдыха детей и их оздоровления;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издание </w:t>
      </w:r>
      <w:hyperlink r:id="rId20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методических рекомендаций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по обеспечению организации отдыха и оздоровления детей;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обеспечение федерального государственного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контроля за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соблюдением требований законодательства Российской Федерации в сфере организации отдыха и оздоровления детей.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1" w:name="sub_121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bookmarkEnd w:id="41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осуществление регионального государственного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контроля за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формирование и ведение реестров организаций отдыха детей и их оздоровления.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2" w:name="sub_1213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bookmarkEnd w:id="42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13.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Защита прав и законных интересов ребенка при формировании социальной инфраструктуры для детей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3" w:name="sub_1100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bookmarkEnd w:id="43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социального обслуживания.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4" w:name="sub_150104"/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21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порядок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bookmarkEnd w:id="44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5" w:name="sub_133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bookmarkEnd w:id="45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4.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sub_132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 2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достаточного для обеспечения указанных целей.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6" w:name="sub_136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6. </w:t>
      </w:r>
      <w:hyperlink r:id="rId22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7" w:name="sub_137"/>
      <w:bookmarkEnd w:id="46"/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7.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bookmarkEnd w:id="47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8" w:name="sub_14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14.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Защита ребенка от информации, пропаганды и агитации,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наносящих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вред его здоровью, нравственному и духовному развитию</w:t>
      </w:r>
    </w:p>
    <w:bookmarkEnd w:id="48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защиты детей от информации, причиняющей вред их здоровью и (или) развитию, </w:t>
      </w:r>
      <w:hyperlink r:id="rId2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от 29 декабря 2010 года N 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14.1.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Меры по содействию физическому, интеллектуальному, психическому, духовному и нравственному развитию детей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9" w:name="sub_141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сети "Интернет").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0" w:name="sub_1412"/>
      <w:bookmarkEnd w:id="49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1" w:name="sub_14122"/>
      <w:bookmarkEnd w:id="5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осуществлении ими своих обязанностей по физическому, интеллектуальному, психическому, духовному и нравственному развитию детей.</w:t>
      </w:r>
    </w:p>
    <w:bookmarkEnd w:id="51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2" w:name="sub_14131"/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3" w:name="sub_14132"/>
      <w:bookmarkEnd w:id="52"/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4" w:name="sub_14133"/>
      <w:bookmarkEnd w:id="53"/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ств в сп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5" w:name="sub_1414"/>
      <w:bookmarkEnd w:id="54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4. Субъекты Российской Федерации в соответствии с </w:t>
      </w:r>
      <w:hyperlink w:anchor="sub_141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3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 вправе: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6" w:name="sub_14141"/>
      <w:bookmarkEnd w:id="55"/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7" w:name="sub_14142"/>
      <w:bookmarkEnd w:id="56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8" w:name="sub_14143"/>
      <w:bookmarkEnd w:id="57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9" w:name="sub_1415"/>
      <w:bookmarkEnd w:id="58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Установление субъектами Российской Федерации в соответствии с </w:t>
      </w:r>
      <w:hyperlink w:anchor="sub_14132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абзацем третьим пункта 3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 мер по недопущению нахождения детей (лиц, не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маршруты следования указанных транспортных сре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дств пр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оходят по территориям двух и более субъектов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0" w:name="sub_1416"/>
      <w:bookmarkEnd w:id="59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1" w:name="sub_1417"/>
      <w:bookmarkEnd w:id="6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sub_141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3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настоящей статьи не допускается.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2" w:name="sub_1418"/>
      <w:bookmarkEnd w:id="6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8.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bookmarkEnd w:id="62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 14.2.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Меры по противодействию торговле детьми и эксплуатации детей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3" w:name="sub_1420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4" w:name="sub_14202"/>
      <w:bookmarkEnd w:id="63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5" w:name="sub_14203"/>
      <w:bookmarkEnd w:id="64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6" w:name="sub_14204"/>
      <w:bookmarkEnd w:id="65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7" w:name="sub_14205"/>
      <w:bookmarkEnd w:id="66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Юридические лица несут ответственность за создание условий для торговли детьми и (или) эксплуатации детей, выразившееся в предоставлении помещений,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8" w:name="sub_14206"/>
      <w:bookmarkEnd w:id="67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6.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bookmarkEnd w:id="68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9" w:name="sub_15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15.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Защита прав детей, находящихся в трудной жизненной ситуации</w:t>
      </w:r>
    </w:p>
    <w:bookmarkEnd w:id="69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Абзац первый </w:t>
      </w:r>
      <w:hyperlink r:id="rId24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0" w:name="sub_15010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1" w:name="sub_15234"/>
      <w:bookmarkEnd w:id="70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bookmarkEnd w:id="71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2" w:name="sub_15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hyperlink r:id="rId25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bookmarkEnd w:id="72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4.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3" w:name="sub_1543"/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девиантным</w:t>
      </w:r>
      <w:proofErr w:type="spell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bookmarkEnd w:id="73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4" w:name="sub_300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Глава III. Организационные основы гарантий прав ребенка</w:t>
      </w:r>
    </w:p>
    <w:bookmarkEnd w:id="74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5" w:name="sub_16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16.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bookmarkEnd w:id="75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6" w:name="sub_16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hyperlink r:id="rId26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7" w:name="sub_18000"/>
      <w:bookmarkEnd w:id="76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bookmarkEnd w:id="77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16.1.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8" w:name="sub_1610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27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указом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Президента Российской Федерации, обеспечивает защиту прав и законных интересов детей.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9" w:name="sub_16102"/>
      <w:bookmarkEnd w:id="78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bookmarkEnd w:id="79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0" w:name="sub_17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17.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r:id="rId28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Утратила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bookmarkEnd w:id="80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1" w:name="sub_18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18.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r:id="rId29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Утратила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bookmarkEnd w:id="81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2" w:name="sub_19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19.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r:id="rId30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Утратила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bookmarkEnd w:id="82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3" w:name="sub_20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20.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hyperlink r:id="rId31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Утратила силу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 1 января 2005 г.</w:t>
      </w:r>
    </w:p>
    <w:bookmarkEnd w:id="83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i/>
          <w:iCs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4" w:name="sub_21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21.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Финансирование мероприятий по реализации государственной политики в интересах детей</w:t>
      </w:r>
    </w:p>
    <w:bookmarkEnd w:id="84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22.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Государственный доклад о положении детей и семей, имеющих детей, в Российской Федерации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5" w:name="sub_220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6" w:name="sub_2202"/>
      <w:bookmarkEnd w:id="85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32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порядок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bookmarkEnd w:id="86"/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87" w:name="sub_400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Глава IV. Гарантии исполнения настоящего федерального закона</w:t>
      </w:r>
    </w:p>
    <w:bookmarkEnd w:id="87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8" w:name="sub_23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23.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Судебный порядок разрешения споров при исполнении настоящего 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Федерального закона</w:t>
      </w:r>
    </w:p>
    <w:bookmarkEnd w:id="88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</w:t>
      </w:r>
      <w:proofErr w:type="gramStart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9" w:name="sub_23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bookmarkEnd w:id="89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90" w:name="sub_500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Глава V. Заключительные положения</w:t>
      </w:r>
    </w:p>
    <w:bookmarkEnd w:id="90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1" w:name="sub_24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24.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Вступление в силу настоящего Федерального закона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2" w:name="sub_29000"/>
      <w:bookmarkEnd w:id="91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1. Настоящий Федеральный закон вступает в силу со дня его </w:t>
      </w:r>
      <w:hyperlink r:id="rId3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официального опубликования.</w:t>
        </w:r>
      </w:hyperlink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3" w:name="sub_242"/>
      <w:bookmarkEnd w:id="92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hyperlink w:anchor="sub_7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 3 статьи 7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9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 3 статьи 9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13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пункты 3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134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4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136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6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hyperlink w:anchor="sub_137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7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статьи 13, </w:t>
      </w:r>
      <w:hyperlink w:anchor="sub_153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 3 статьи 15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и </w:t>
      </w:r>
      <w:hyperlink w:anchor="sub_232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 2 статьи 23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Федерального закона вступают в силу с 1 июля 1999 года.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4" w:name="sub_243"/>
      <w:bookmarkEnd w:id="93"/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hyperlink w:anchor="sub_8" w:history="1">
        <w:r w:rsidRPr="001E66E6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Статья 8</w:t>
        </w:r>
      </w:hyperlink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Федерального закона вступает в силу с 1 января 2000 года.</w:t>
      </w:r>
    </w:p>
    <w:bookmarkEnd w:id="94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5" w:name="sub_25"/>
      <w:r w:rsidRPr="001E66E6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Статья 25.</w:t>
      </w:r>
      <w:r w:rsidRPr="001E66E6">
        <w:rPr>
          <w:rFonts w:ascii="Arial" w:eastAsiaTheme="minorEastAsia" w:hAnsi="Arial" w:cs="Arial"/>
          <w:sz w:val="24"/>
          <w:szCs w:val="24"/>
          <w:lang w:eastAsia="ru-RU"/>
        </w:rPr>
        <w:t xml:space="preserve"> Приведение нормативных правовых актов в соответствие с настоящим Федеральным законом</w:t>
      </w:r>
    </w:p>
    <w:bookmarkEnd w:id="95"/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eastAsiaTheme="minorEastAsia" w:hAnsi="Arial" w:cs="Arial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E66E6" w:rsidRPr="001E66E6" w:rsidTr="00CD24D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66E6" w:rsidRPr="001E66E6" w:rsidRDefault="001E66E6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66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66E6" w:rsidRPr="001E66E6" w:rsidRDefault="001E66E6" w:rsidP="001E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1E66E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Б.Ельцин</w:t>
            </w:r>
            <w:proofErr w:type="spellEnd"/>
          </w:p>
        </w:tc>
      </w:tr>
    </w:tbl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Москва, Кремль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24 июля 1998 г.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E66E6">
        <w:rPr>
          <w:rFonts w:ascii="Arial" w:eastAsiaTheme="minorEastAsia" w:hAnsi="Arial" w:cs="Arial"/>
          <w:sz w:val="24"/>
          <w:szCs w:val="24"/>
          <w:lang w:eastAsia="ru-RU"/>
        </w:rPr>
        <w:t>N 124-ФЗ</w:t>
      </w:r>
    </w:p>
    <w:p w:rsidR="001E66E6" w:rsidRPr="001E66E6" w:rsidRDefault="001E66E6" w:rsidP="001E66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6104E" w:rsidRDefault="00B6104E">
      <w:bookmarkStart w:id="96" w:name="_GoBack"/>
      <w:bookmarkEnd w:id="96"/>
    </w:p>
    <w:sectPr w:rsidR="00B6104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CB"/>
    <w:rsid w:val="001E66E6"/>
    <w:rsid w:val="00254B47"/>
    <w:rsid w:val="00B6104E"/>
    <w:rsid w:val="00C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0003000.2000" TargetMode="External"/><Relationship Id="rId18" Type="http://schemas.openxmlformats.org/officeDocument/2006/relationships/hyperlink" Target="garantF1://12025268.5" TargetMode="External"/><Relationship Id="rId26" Type="http://schemas.openxmlformats.org/officeDocument/2006/relationships/hyperlink" Target="garantF1://12036676.10500001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554010.300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10003000.2000" TargetMode="External"/><Relationship Id="rId12" Type="http://schemas.openxmlformats.org/officeDocument/2006/relationships/hyperlink" Target="garantF1://71588100.1000" TargetMode="External"/><Relationship Id="rId17" Type="http://schemas.openxmlformats.org/officeDocument/2006/relationships/hyperlink" Target="garantF1://71594916.0" TargetMode="External"/><Relationship Id="rId25" Type="http://schemas.openxmlformats.org/officeDocument/2006/relationships/hyperlink" Target="garantF1://12036676.105000009" TargetMode="External"/><Relationship Id="rId33" Type="http://schemas.openxmlformats.org/officeDocument/2006/relationships/hyperlink" Target="garantF1://179146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25268.1042" TargetMode="External"/><Relationship Id="rId20" Type="http://schemas.openxmlformats.org/officeDocument/2006/relationships/hyperlink" Target="garantF1://71659176.0" TargetMode="External"/><Relationship Id="rId29" Type="http://schemas.openxmlformats.org/officeDocument/2006/relationships/hyperlink" Target="garantF1://12036676.10500001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36676.105000002" TargetMode="External"/><Relationship Id="rId24" Type="http://schemas.openxmlformats.org/officeDocument/2006/relationships/hyperlink" Target="garantF1://12036676.105000009" TargetMode="External"/><Relationship Id="rId32" Type="http://schemas.openxmlformats.org/officeDocument/2006/relationships/hyperlink" Target="garantF1://70054842.1000" TargetMode="External"/><Relationship Id="rId5" Type="http://schemas.openxmlformats.org/officeDocument/2006/relationships/hyperlink" Target="garantF1://10003000.2000" TargetMode="External"/><Relationship Id="rId15" Type="http://schemas.openxmlformats.org/officeDocument/2006/relationships/hyperlink" Target="garantF1://12036676.105000004" TargetMode="External"/><Relationship Id="rId23" Type="http://schemas.openxmlformats.org/officeDocument/2006/relationships/hyperlink" Target="garantF1://12081695.300" TargetMode="External"/><Relationship Id="rId28" Type="http://schemas.openxmlformats.org/officeDocument/2006/relationships/hyperlink" Target="garantF1://12036676.105000010" TargetMode="External"/><Relationship Id="rId10" Type="http://schemas.openxmlformats.org/officeDocument/2006/relationships/hyperlink" Target="garantF1://12036676.105000002" TargetMode="External"/><Relationship Id="rId19" Type="http://schemas.openxmlformats.org/officeDocument/2006/relationships/hyperlink" Target="garantF1://70600452.0" TargetMode="External"/><Relationship Id="rId31" Type="http://schemas.openxmlformats.org/officeDocument/2006/relationships/hyperlink" Target="garantF1://12036676.1050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6676.105000001" TargetMode="External"/><Relationship Id="rId14" Type="http://schemas.openxmlformats.org/officeDocument/2006/relationships/hyperlink" Target="garantF1://10005807.411" TargetMode="External"/><Relationship Id="rId22" Type="http://schemas.openxmlformats.org/officeDocument/2006/relationships/hyperlink" Target="garantF1://12036676.105000008" TargetMode="External"/><Relationship Id="rId27" Type="http://schemas.openxmlformats.org/officeDocument/2006/relationships/hyperlink" Target="garantF1://96200.0" TargetMode="External"/><Relationship Id="rId30" Type="http://schemas.openxmlformats.org/officeDocument/2006/relationships/hyperlink" Target="garantF1://12036676.1050000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6939</Words>
  <Characters>39556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2023-10-22T08:19:00Z</dcterms:created>
  <dcterms:modified xsi:type="dcterms:W3CDTF">2023-10-22T08:19:00Z</dcterms:modified>
</cp:coreProperties>
</file>